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color w:val="FF0000"/>
          <w:sz w:val="40"/>
        </w:rPr>
      </w:pPr>
      <w:r>
        <w:rPr>
          <w:rFonts w:hint="eastAsia" w:ascii="华文中宋" w:hAnsi="华文中宋" w:eastAsia="华文中宋"/>
          <w:b/>
          <w:color w:val="FF0000"/>
          <w:sz w:val="40"/>
        </w:rPr>
        <w:t>中国地质大学（北京）</w:t>
      </w:r>
    </w:p>
    <w:p>
      <w:pPr>
        <w:spacing w:after="100" w:afterAutospacing="1"/>
        <w:jc w:val="center"/>
        <w:rPr>
          <w:rFonts w:ascii="华文中宋" w:hAnsi="华文中宋" w:eastAsia="华文中宋"/>
          <w:b/>
          <w:color w:val="FF0000"/>
          <w:sz w:val="40"/>
        </w:rPr>
      </w:pPr>
      <w:r>
        <w:rPr>
          <w:rFonts w:hint="eastAsia" w:ascii="华文中宋" w:hAnsi="华文中宋" w:eastAsia="华文中宋"/>
          <w:b/>
          <w:color w:val="FF0000"/>
          <w:sz w:val="40"/>
        </w:rPr>
        <w:t>关于加强研究生学位论文评审及答辩管理工作的暂行办法</w:t>
      </w:r>
    </w:p>
    <w:p>
      <w:pPr>
        <w:ind w:firstLine="560" w:firstLineChars="200"/>
      </w:pPr>
      <w:r>
        <w:rPr>
          <w:rFonts w:hint="eastAsia"/>
        </w:rPr>
        <w:t>根据近些年来我校博士、硕士学位论文抽检评议结果，为保证学位与研究生教育质量，加强对研究生学位论文质量监督与管理，针对博士、硕士学位论文评审及答辩工作环节，特制定本管理办法。</w:t>
      </w:r>
    </w:p>
    <w:p>
      <w:pPr>
        <w:ind w:firstLine="561" w:firstLineChars="200"/>
        <w:rPr>
          <w:rFonts w:ascii="华文中宋" w:hAnsi="华文中宋" w:eastAsia="华文中宋"/>
          <w:b/>
        </w:rPr>
      </w:pPr>
      <w:r>
        <w:rPr>
          <w:rFonts w:hint="eastAsia" w:ascii="华文中宋" w:hAnsi="华文中宋" w:eastAsia="华文中宋"/>
          <w:b/>
        </w:rPr>
        <w:t>一、博士论文评审办法</w:t>
      </w:r>
    </w:p>
    <w:p>
      <w:pPr>
        <w:ind w:firstLine="560" w:firstLineChars="200"/>
      </w:pPr>
      <w:r>
        <w:t>1</w:t>
      </w:r>
      <w:r>
        <w:rPr>
          <w:rFonts w:hint="eastAsia"/>
        </w:rPr>
        <w:t>、博士学位论文评阅一律实施“双盲”评审制度，评阅工作由研究生院和教育部学位与研究生教育发展中心组织实施。</w:t>
      </w:r>
    </w:p>
    <w:p>
      <w:pPr>
        <w:ind w:firstLine="560" w:firstLineChars="200"/>
      </w:pPr>
      <w:r>
        <w:t>2</w:t>
      </w:r>
      <w:r>
        <w:rPr>
          <w:rFonts w:hint="eastAsia"/>
        </w:rPr>
        <w:t>、每篇博士学位论文送</w:t>
      </w:r>
      <w:r>
        <w:t>3</w:t>
      </w:r>
      <w:r>
        <w:rPr>
          <w:rFonts w:hint="eastAsia"/>
        </w:rPr>
        <w:t>位同行专家进行评议，专家按照评价要素逐项进行打分（百分制）和综</w:t>
      </w:r>
      <w:r>
        <w:rPr>
          <w:rFonts w:hint="eastAsia"/>
          <w:lang w:val="en-US" w:eastAsia="zh-CN"/>
        </w:rPr>
        <w:t xml:space="preserve"> </w:t>
      </w:r>
      <w:r>
        <w:rPr>
          <w:rFonts w:hint="eastAsia"/>
        </w:rPr>
        <w:t>合评议，并给出“同意答辩”、“修改后答辩”、“不同意答辩”的评价意见。</w:t>
      </w:r>
    </w:p>
    <w:p>
      <w:pPr>
        <w:ind w:firstLine="561" w:firstLineChars="200"/>
        <w:rPr>
          <w:rFonts w:ascii="华文中宋" w:hAnsi="华文中宋" w:eastAsia="华文中宋"/>
          <w:b/>
        </w:rPr>
      </w:pPr>
      <w:r>
        <w:rPr>
          <w:rFonts w:hint="eastAsia" w:ascii="华文中宋" w:hAnsi="华文中宋" w:eastAsia="华文中宋"/>
          <w:b/>
        </w:rPr>
        <w:t>二、博士论文评审结果处理办法</w:t>
      </w:r>
    </w:p>
    <w:p>
      <w:pPr>
        <w:ind w:firstLine="560" w:firstLineChars="200"/>
      </w:pPr>
      <w:r>
        <w:rPr>
          <w:rFonts w:hint="eastAsia"/>
        </w:rPr>
        <w:t>研究生院对专家评议结果将按照定量评价和定性评议相结合的方式进行处理。具体处理办法如下：</w:t>
      </w:r>
    </w:p>
    <w:p>
      <w:pPr>
        <w:ind w:firstLine="560" w:firstLineChars="200"/>
      </w:pPr>
      <w:r>
        <w:t>1</w:t>
      </w:r>
      <w:r>
        <w:rPr>
          <w:rFonts w:hint="eastAsia"/>
        </w:rPr>
        <w:t>、有下列情况之一的学位论文必须修改</w:t>
      </w:r>
      <w:r>
        <w:t>3-6</w:t>
      </w:r>
      <w:r>
        <w:rPr>
          <w:rFonts w:hint="eastAsia"/>
        </w:rPr>
        <w:t>个月后重新参加盲评。</w:t>
      </w:r>
    </w:p>
    <w:p>
      <w:pPr>
        <w:ind w:firstLine="560" w:firstLineChars="200"/>
      </w:pPr>
      <w:r>
        <w:t>1</w:t>
      </w:r>
      <w:r>
        <w:rPr>
          <w:rFonts w:hint="eastAsia"/>
        </w:rPr>
        <w:t>）</w:t>
      </w:r>
      <w:r>
        <w:t>3</w:t>
      </w:r>
      <w:r>
        <w:rPr>
          <w:rFonts w:hint="eastAsia"/>
        </w:rPr>
        <w:t>位专家综合评议意见有两份为“不同意答辩”的论文；</w:t>
      </w:r>
    </w:p>
    <w:p>
      <w:pPr>
        <w:ind w:firstLine="560" w:firstLineChars="200"/>
      </w:pPr>
      <w:r>
        <w:t>2</w:t>
      </w:r>
      <w:r>
        <w:rPr>
          <w:rFonts w:hint="eastAsia"/>
        </w:rPr>
        <w:t>）</w:t>
      </w:r>
      <w:r>
        <w:t>3</w:t>
      </w:r>
      <w:r>
        <w:rPr>
          <w:rFonts w:hint="eastAsia"/>
        </w:rPr>
        <w:t>位专家综合评议意见有一份为“不同意答辩”，另两份专家综合评议意见均为“修改后答辩”且定量评价在</w:t>
      </w:r>
      <w:r>
        <w:t>70</w:t>
      </w:r>
      <w:r>
        <w:rPr>
          <w:rFonts w:hint="eastAsia"/>
        </w:rPr>
        <w:t>分以下的学位论文。</w:t>
      </w:r>
    </w:p>
    <w:p>
      <w:pPr>
        <w:ind w:firstLine="560" w:firstLineChars="200"/>
      </w:pPr>
      <w:r>
        <w:t>2</w:t>
      </w:r>
      <w:r>
        <w:rPr>
          <w:rFonts w:hint="eastAsia"/>
        </w:rPr>
        <w:t>、有下列情况之一的学位论文增加一位专家进行复评。</w:t>
      </w:r>
    </w:p>
    <w:p>
      <w:pPr>
        <w:ind w:firstLine="560" w:firstLineChars="200"/>
      </w:pPr>
      <w:r>
        <w:t>1</w:t>
      </w:r>
      <w:r>
        <w:rPr>
          <w:rFonts w:hint="eastAsia"/>
        </w:rPr>
        <w:t>）</w:t>
      </w:r>
      <w:r>
        <w:t>3</w:t>
      </w:r>
      <w:r>
        <w:rPr>
          <w:rFonts w:hint="eastAsia"/>
        </w:rPr>
        <w:t>位专家综合评议意见有一份为“不同意答辩”的论文；</w:t>
      </w:r>
    </w:p>
    <w:p>
      <w:pPr>
        <w:ind w:firstLine="560" w:firstLineChars="200"/>
      </w:pPr>
      <w:r>
        <w:t>2</w:t>
      </w:r>
      <w:r>
        <w:rPr>
          <w:rFonts w:hint="eastAsia"/>
        </w:rPr>
        <w:t>）</w:t>
      </w:r>
      <w:r>
        <w:t>3</w:t>
      </w:r>
      <w:r>
        <w:rPr>
          <w:rFonts w:hint="eastAsia"/>
        </w:rPr>
        <w:t>位专家综合评议意见中两份为“修改后答辩”且定量评价在</w:t>
      </w:r>
      <w:r>
        <w:t>70</w:t>
      </w:r>
      <w:r>
        <w:rPr>
          <w:rFonts w:hint="eastAsia"/>
        </w:rPr>
        <w:t>分以下的学位论文。</w:t>
      </w:r>
    </w:p>
    <w:p>
      <w:pPr>
        <w:ind w:firstLine="560" w:firstLineChars="200"/>
      </w:pPr>
      <w:r>
        <w:t>3</w:t>
      </w:r>
      <w:r>
        <w:rPr>
          <w:rFonts w:hint="eastAsia"/>
        </w:rPr>
        <w:t>、复评专家综合评议意见为“不同意答辩”的论文，或为“修改后答辩”且定量评价在</w:t>
      </w:r>
      <w:r>
        <w:t>70</w:t>
      </w:r>
      <w:r>
        <w:rPr>
          <w:rFonts w:hint="eastAsia"/>
        </w:rPr>
        <w:t>分以下的学位论文，必须修改</w:t>
      </w:r>
      <w:r>
        <w:t>3-6</w:t>
      </w:r>
      <w:r>
        <w:rPr>
          <w:rFonts w:hint="eastAsia"/>
        </w:rPr>
        <w:t>个月后重新参加盲评。</w:t>
      </w:r>
    </w:p>
    <w:p>
      <w:pPr>
        <w:ind w:firstLine="561" w:firstLineChars="200"/>
        <w:rPr>
          <w:rFonts w:ascii="华文中宋" w:hAnsi="华文中宋" w:eastAsia="华文中宋"/>
          <w:b/>
        </w:rPr>
      </w:pPr>
      <w:r>
        <w:rPr>
          <w:rFonts w:hint="eastAsia" w:ascii="华文中宋" w:hAnsi="华文中宋" w:eastAsia="华文中宋"/>
          <w:b/>
        </w:rPr>
        <w:t>三、博士、硕士论文答辩工作管理办法</w:t>
      </w:r>
    </w:p>
    <w:p>
      <w:pPr>
        <w:ind w:firstLine="560" w:firstLineChars="200"/>
      </w:pPr>
      <w:r>
        <w:rPr>
          <w:rFonts w:hint="eastAsia"/>
        </w:rPr>
        <w:t>1、在博士、硕士学位论文答辩环节，增设“学位论文修改完善意见建议表”，请答辩委员会专家组成员对学位论文提出进一步修改完善的书面意见和建议。</w:t>
      </w:r>
    </w:p>
    <w:p>
      <w:pPr>
        <w:ind w:firstLine="560" w:firstLineChars="200"/>
        <w:rPr>
          <w:color w:val="auto"/>
        </w:rPr>
      </w:pPr>
      <w:r>
        <w:rPr>
          <w:rFonts w:hint="eastAsia"/>
          <w:color w:val="auto"/>
        </w:rPr>
        <w:t>2、研究生在学位论文提交学位分委员会审核以及归档之前，须提交学位论文修改说明，以及指导教师对研究生是否根据专家意见建议进行认真修改的最终“审核”意</w:t>
      </w:r>
      <w:bookmarkStart w:id="0" w:name="_GoBack"/>
      <w:bookmarkEnd w:id="0"/>
      <w:r>
        <w:rPr>
          <w:rFonts w:hint="eastAsia"/>
          <w:color w:val="auto"/>
        </w:rPr>
        <w:t>见。</w:t>
      </w:r>
    </w:p>
    <w:p>
      <w:pPr>
        <w:ind w:firstLine="560" w:firstLineChars="200"/>
        <w:rPr>
          <w:color w:val="auto"/>
        </w:rPr>
      </w:pPr>
      <w:r>
        <w:rPr>
          <w:color w:val="auto"/>
        </w:rPr>
        <w:t>3</w:t>
      </w:r>
      <w:r>
        <w:rPr>
          <w:rFonts w:hint="eastAsia"/>
          <w:color w:val="auto"/>
        </w:rPr>
        <w:t>、原则上,要求学位论文答辩应在召开学位分委员会一周前完成，以确保研究生在答辩后有足够的时间进行学位论文的修改与完善。研究生答辩截止时间：夏季毕业生为</w:t>
      </w:r>
      <w:r>
        <w:rPr>
          <w:color w:val="auto"/>
        </w:rPr>
        <w:t>6</w:t>
      </w:r>
      <w:r>
        <w:rPr>
          <w:rFonts w:hint="eastAsia"/>
          <w:color w:val="auto"/>
        </w:rPr>
        <w:t>月</w:t>
      </w:r>
      <w:r>
        <w:rPr>
          <w:color w:val="auto"/>
        </w:rPr>
        <w:t>1</w:t>
      </w:r>
      <w:r>
        <w:rPr>
          <w:rFonts w:hint="eastAsia"/>
          <w:color w:val="auto"/>
        </w:rPr>
        <w:t>日；春季毕业生为</w:t>
      </w:r>
      <w:r>
        <w:rPr>
          <w:color w:val="auto"/>
        </w:rPr>
        <w:t>12</w:t>
      </w:r>
      <w:r>
        <w:rPr>
          <w:rFonts w:hint="eastAsia"/>
          <w:color w:val="auto"/>
        </w:rPr>
        <w:t>月</w:t>
      </w:r>
      <w:r>
        <w:rPr>
          <w:color w:val="auto"/>
        </w:rPr>
        <w:t>2</w:t>
      </w:r>
      <w:r>
        <w:rPr>
          <w:rFonts w:hint="eastAsia"/>
          <w:color w:val="auto"/>
        </w:rPr>
        <w:t>5日。</w:t>
      </w:r>
    </w:p>
    <w:p>
      <w:pPr>
        <w:ind w:firstLine="561" w:firstLineChars="200"/>
        <w:rPr>
          <w:rFonts w:ascii="华文中宋" w:hAnsi="华文中宋" w:eastAsia="华文中宋"/>
          <w:b/>
        </w:rPr>
      </w:pPr>
      <w:r>
        <w:rPr>
          <w:rFonts w:hint="eastAsia" w:ascii="华文中宋" w:hAnsi="华文中宋" w:eastAsia="华文中宋"/>
          <w:b/>
        </w:rPr>
        <w:t>四、其 它</w:t>
      </w:r>
    </w:p>
    <w:p>
      <w:pPr>
        <w:ind w:firstLine="560" w:firstLineChars="200"/>
        <w:rPr>
          <w:rFonts w:hint="eastAsia"/>
          <w:color w:val="auto"/>
        </w:rPr>
      </w:pPr>
      <w:r>
        <w:rPr>
          <w:rFonts w:hint="eastAsia"/>
          <w:color w:val="auto"/>
        </w:rPr>
        <w:t>本办法自发布之日起执行，由研究生院负责解释。</w:t>
      </w:r>
    </w:p>
    <w:p>
      <w:pPr>
        <w:ind w:firstLine="560" w:firstLineChars="200"/>
        <w:rPr>
          <w:rFonts w:hint="eastAsia"/>
          <w:color w:val="auto"/>
        </w:rPr>
      </w:pPr>
    </w:p>
    <w:p>
      <w:pPr>
        <w:ind w:firstLine="560" w:firstLineChars="200"/>
        <w:rPr>
          <w:color w:va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2</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7DD9"/>
    <w:rsid w:val="00010CA5"/>
    <w:rsid w:val="00012BDF"/>
    <w:rsid w:val="0004726E"/>
    <w:rsid w:val="00047966"/>
    <w:rsid w:val="000532DD"/>
    <w:rsid w:val="00091626"/>
    <w:rsid w:val="000B002C"/>
    <w:rsid w:val="000F299C"/>
    <w:rsid w:val="000F4412"/>
    <w:rsid w:val="000F6F5E"/>
    <w:rsid w:val="001100E5"/>
    <w:rsid w:val="00126058"/>
    <w:rsid w:val="001454F4"/>
    <w:rsid w:val="00150494"/>
    <w:rsid w:val="001566A8"/>
    <w:rsid w:val="00165AA7"/>
    <w:rsid w:val="00184BE1"/>
    <w:rsid w:val="0019660D"/>
    <w:rsid w:val="001C36E5"/>
    <w:rsid w:val="001E719B"/>
    <w:rsid w:val="001F3EAF"/>
    <w:rsid w:val="00220B48"/>
    <w:rsid w:val="002225D1"/>
    <w:rsid w:val="00235D76"/>
    <w:rsid w:val="002520A1"/>
    <w:rsid w:val="002762AA"/>
    <w:rsid w:val="002E4113"/>
    <w:rsid w:val="003127F6"/>
    <w:rsid w:val="003A5533"/>
    <w:rsid w:val="003D2C5B"/>
    <w:rsid w:val="00417FB2"/>
    <w:rsid w:val="00451380"/>
    <w:rsid w:val="00465E02"/>
    <w:rsid w:val="00485A65"/>
    <w:rsid w:val="00487D6B"/>
    <w:rsid w:val="004F7C1D"/>
    <w:rsid w:val="00505D26"/>
    <w:rsid w:val="00506527"/>
    <w:rsid w:val="00556328"/>
    <w:rsid w:val="005E25AD"/>
    <w:rsid w:val="005E5ED0"/>
    <w:rsid w:val="005F308B"/>
    <w:rsid w:val="00614793"/>
    <w:rsid w:val="006355FF"/>
    <w:rsid w:val="00652E8B"/>
    <w:rsid w:val="006958A8"/>
    <w:rsid w:val="00697DD9"/>
    <w:rsid w:val="006C102C"/>
    <w:rsid w:val="006F3CC6"/>
    <w:rsid w:val="00736888"/>
    <w:rsid w:val="007872CA"/>
    <w:rsid w:val="008340BD"/>
    <w:rsid w:val="00860FF5"/>
    <w:rsid w:val="008D2353"/>
    <w:rsid w:val="008D2AF8"/>
    <w:rsid w:val="009219FF"/>
    <w:rsid w:val="009521B5"/>
    <w:rsid w:val="00955A6D"/>
    <w:rsid w:val="009604F8"/>
    <w:rsid w:val="00A663EA"/>
    <w:rsid w:val="00AA4E17"/>
    <w:rsid w:val="00AA74EC"/>
    <w:rsid w:val="00AB1B8D"/>
    <w:rsid w:val="00AF67BF"/>
    <w:rsid w:val="00B17A00"/>
    <w:rsid w:val="00B4002A"/>
    <w:rsid w:val="00BB33A2"/>
    <w:rsid w:val="00C00DAF"/>
    <w:rsid w:val="00C14E5B"/>
    <w:rsid w:val="00C52932"/>
    <w:rsid w:val="00C77906"/>
    <w:rsid w:val="00C86051"/>
    <w:rsid w:val="00CA39BF"/>
    <w:rsid w:val="00CF09D2"/>
    <w:rsid w:val="00D1349E"/>
    <w:rsid w:val="00D97E59"/>
    <w:rsid w:val="00DE51EE"/>
    <w:rsid w:val="00E0040B"/>
    <w:rsid w:val="00E81774"/>
    <w:rsid w:val="00EE04C1"/>
    <w:rsid w:val="00EF494F"/>
    <w:rsid w:val="00F10CE4"/>
    <w:rsid w:val="00F44B91"/>
    <w:rsid w:val="00F729A8"/>
    <w:rsid w:val="00F75C4F"/>
    <w:rsid w:val="00FC652B"/>
    <w:rsid w:val="00FD265A"/>
    <w:rsid w:val="00FF1248"/>
    <w:rsid w:val="3FCB7FE4"/>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仿宋" w:cs="Times New Roman"/>
      <w:color w:val="2B2B2B"/>
      <w:kern w:val="2"/>
      <w:sz w:val="28"/>
      <w:szCs w:val="28"/>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locked/>
    <w:uiPriority w:val="99"/>
    <w:rPr>
      <w:rFonts w:ascii="仿宋" w:hAnsi="仿宋" w:eastAsia="仿宋" w:cs="Times New Roman"/>
      <w:color w:val="2B2B2B"/>
      <w:sz w:val="18"/>
      <w:szCs w:val="18"/>
    </w:rPr>
  </w:style>
  <w:style w:type="character" w:customStyle="1" w:styleId="7">
    <w:name w:val="页脚 Char"/>
    <w:basedOn w:val="4"/>
    <w:link w:val="2"/>
    <w:qFormat/>
    <w:locked/>
    <w:uiPriority w:val="99"/>
    <w:rPr>
      <w:rFonts w:ascii="仿宋" w:hAnsi="仿宋" w:eastAsia="仿宋" w:cs="Times New Roman"/>
      <w:color w:val="2B2B2B"/>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134</Words>
  <Characters>767</Characters>
  <Lines>6</Lines>
  <Paragraphs>1</Paragraphs>
  <TotalTime>0</TotalTime>
  <ScaleCrop>false</ScaleCrop>
  <LinksUpToDate>false</LinksUpToDate>
  <CharactersWithSpaces>900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2017-02-20T08:45:00Z</dcterms:created>
  <dc:creator>中国地大（北京）-苏田梅</dc:creator>
  <cp:lastModifiedBy>DELL</cp:lastModifiedBy>
  <dcterms:modified xsi:type="dcterms:W3CDTF">2017-03-30T04:47:02Z</dcterms:modified>
  <dc:title>中国地质大学（北京）</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